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4879" w14:textId="64CF8ECD" w:rsidR="00A65B48" w:rsidRPr="00A65B48" w:rsidRDefault="00A65B48" w:rsidP="00A65B48">
      <w:pPr>
        <w:rPr>
          <w:b/>
          <w:bCs/>
          <w:sz w:val="28"/>
          <w:szCs w:val="28"/>
        </w:rPr>
      </w:pPr>
      <w:r w:rsidRPr="00A65B48">
        <w:rPr>
          <w:b/>
          <w:bCs/>
          <w:sz w:val="28"/>
          <w:szCs w:val="28"/>
        </w:rPr>
        <w:t xml:space="preserve">Georgia Community Literacy Collaborative </w:t>
      </w:r>
    </w:p>
    <w:p w14:paraId="037CAC45" w14:textId="2EC51867" w:rsidR="00A65B48" w:rsidRPr="00A65B48" w:rsidRDefault="00A65B48" w:rsidP="00A65B48">
      <w:pPr>
        <w:rPr>
          <w:i/>
          <w:iCs/>
          <w:sz w:val="22"/>
          <w:szCs w:val="22"/>
        </w:rPr>
      </w:pPr>
      <w:r w:rsidRPr="00A65B48">
        <w:rPr>
          <w:i/>
          <w:iCs/>
          <w:sz w:val="22"/>
          <w:szCs w:val="22"/>
        </w:rPr>
        <w:t>Building Local Capacity to Improve Literacy Outcomes</w:t>
      </w:r>
    </w:p>
    <w:p w14:paraId="60E98112" w14:textId="41B60CE7" w:rsidR="00A65B48" w:rsidRPr="00A65B48" w:rsidRDefault="00A65B48" w:rsidP="00A65B48">
      <w:pPr>
        <w:spacing w:after="120"/>
        <w:rPr>
          <w:b/>
          <w:bCs/>
          <w:sz w:val="22"/>
          <w:szCs w:val="22"/>
        </w:rPr>
      </w:pPr>
      <w:r w:rsidRPr="00A65B48">
        <w:rPr>
          <w:b/>
          <w:bCs/>
          <w:sz w:val="22"/>
          <w:szCs w:val="22"/>
        </w:rPr>
        <w:t>Overview</w:t>
      </w:r>
    </w:p>
    <w:p w14:paraId="79097D9B" w14:textId="5845726E" w:rsidR="00A65B48" w:rsidRPr="00A65B48" w:rsidRDefault="00A65B48" w:rsidP="00A65B48">
      <w:pPr>
        <w:spacing w:after="120"/>
        <w:rPr>
          <w:sz w:val="22"/>
          <w:szCs w:val="22"/>
        </w:rPr>
      </w:pPr>
      <w:r w:rsidRPr="00A65B48">
        <w:rPr>
          <w:sz w:val="22"/>
          <w:szCs w:val="22"/>
        </w:rPr>
        <w:t xml:space="preserve">The </w:t>
      </w:r>
      <w:r w:rsidRPr="00A65B48">
        <w:rPr>
          <w:b/>
          <w:bCs/>
          <w:sz w:val="22"/>
          <w:szCs w:val="22"/>
        </w:rPr>
        <w:t>Georgia Community Literacy Collaborative</w:t>
      </w:r>
      <w:r w:rsidRPr="00A65B48">
        <w:rPr>
          <w:sz w:val="22"/>
          <w:szCs w:val="22"/>
        </w:rPr>
        <w:t xml:space="preserve"> is a three-year </w:t>
      </w:r>
      <w:r w:rsidR="00823603">
        <w:rPr>
          <w:sz w:val="22"/>
          <w:szCs w:val="22"/>
        </w:rPr>
        <w:t>learning experience</w:t>
      </w:r>
      <w:r>
        <w:rPr>
          <w:sz w:val="22"/>
          <w:szCs w:val="22"/>
        </w:rPr>
        <w:t xml:space="preserve"> managed by </w:t>
      </w:r>
      <w:proofErr w:type="spellStart"/>
      <w:r w:rsidRPr="00A65B48">
        <w:rPr>
          <w:b/>
          <w:bCs/>
          <w:sz w:val="22"/>
          <w:szCs w:val="22"/>
        </w:rPr>
        <w:t>GeorgiaForward</w:t>
      </w:r>
      <w:proofErr w:type="spellEnd"/>
      <w:r>
        <w:rPr>
          <w:sz w:val="22"/>
          <w:szCs w:val="22"/>
        </w:rPr>
        <w:t xml:space="preserve"> and</w:t>
      </w:r>
      <w:r w:rsidRPr="00A65B48">
        <w:rPr>
          <w:sz w:val="22"/>
          <w:szCs w:val="22"/>
        </w:rPr>
        <w:t xml:space="preserve"> designed to help Georgia communities build the local capacity necessary to improve literacy outcomes. Modeled after the successful Georgia Initiative for Community Housing (GICH) and guided by the </w:t>
      </w:r>
      <w:r w:rsidRPr="00A65B48">
        <w:rPr>
          <w:b/>
          <w:bCs/>
          <w:sz w:val="22"/>
          <w:szCs w:val="22"/>
        </w:rPr>
        <w:t>Get Georgia Reading (GGR) four-pillar framework</w:t>
      </w:r>
      <w:r w:rsidRPr="00A65B48">
        <w:rPr>
          <w:sz w:val="22"/>
          <w:szCs w:val="22"/>
        </w:rPr>
        <w:t>, this collaborative equips communities to align partners, leverage statewide resources, and implement locally driven literacy strategies.</w:t>
      </w:r>
    </w:p>
    <w:p w14:paraId="7C249CFD" w14:textId="77777777" w:rsidR="00A65B48" w:rsidRPr="00A65B48" w:rsidRDefault="00A65B48" w:rsidP="00A65B48">
      <w:pPr>
        <w:spacing w:after="120"/>
        <w:rPr>
          <w:sz w:val="22"/>
          <w:szCs w:val="22"/>
        </w:rPr>
      </w:pPr>
      <w:r w:rsidRPr="00A65B48">
        <w:rPr>
          <w:sz w:val="22"/>
          <w:szCs w:val="22"/>
        </w:rPr>
        <w:t xml:space="preserve">Rather than duplicating existing efforts, the Collaborative serves as a </w:t>
      </w:r>
      <w:r w:rsidRPr="00A65B48">
        <w:rPr>
          <w:b/>
          <w:bCs/>
          <w:sz w:val="22"/>
          <w:szCs w:val="22"/>
        </w:rPr>
        <w:t>convener and bridge</w:t>
      </w:r>
      <w:r w:rsidRPr="00A65B48">
        <w:rPr>
          <w:sz w:val="22"/>
          <w:szCs w:val="22"/>
        </w:rPr>
        <w:t>, empowering local governments to lead coordinated, cross-sector literacy improvement efforts tailored to their community’s specific needs.</w:t>
      </w:r>
    </w:p>
    <w:p w14:paraId="23A79584" w14:textId="77777777" w:rsidR="00A65B48" w:rsidRPr="00A65B48" w:rsidRDefault="00000000" w:rsidP="00A65B48">
      <w:pPr>
        <w:spacing w:after="120"/>
        <w:rPr>
          <w:sz w:val="22"/>
          <w:szCs w:val="22"/>
        </w:rPr>
      </w:pPr>
      <w:r>
        <w:rPr>
          <w:sz w:val="22"/>
          <w:szCs w:val="22"/>
        </w:rPr>
        <w:pict w14:anchorId="1E3BA1D4">
          <v:rect id="_x0000_i1025" style="width:0;height:1.5pt" o:hralign="center" o:hrstd="t" o:hr="t" fillcolor="#a0a0a0" stroked="f"/>
        </w:pict>
      </w:r>
    </w:p>
    <w:p w14:paraId="6F1FA950" w14:textId="77777777" w:rsidR="00A65B48" w:rsidRPr="00A65B48" w:rsidRDefault="00A65B48" w:rsidP="00A65B48">
      <w:pPr>
        <w:spacing w:after="120"/>
        <w:rPr>
          <w:b/>
          <w:bCs/>
          <w:sz w:val="22"/>
          <w:szCs w:val="22"/>
        </w:rPr>
      </w:pPr>
      <w:r w:rsidRPr="00A65B48">
        <w:rPr>
          <w:b/>
          <w:bCs/>
          <w:sz w:val="22"/>
          <w:szCs w:val="22"/>
        </w:rPr>
        <w:t>Why This Matters</w:t>
      </w:r>
    </w:p>
    <w:p w14:paraId="2CAF6364" w14:textId="77777777" w:rsidR="00A65B48" w:rsidRPr="00A65B48" w:rsidRDefault="00A65B48" w:rsidP="00A65B48">
      <w:pPr>
        <w:spacing w:after="120"/>
        <w:rPr>
          <w:sz w:val="22"/>
          <w:szCs w:val="22"/>
        </w:rPr>
      </w:pPr>
      <w:r w:rsidRPr="00A65B48">
        <w:rPr>
          <w:sz w:val="22"/>
          <w:szCs w:val="22"/>
        </w:rPr>
        <w:t>Literacy is a multigenerational issue affecting workforce readiness, economic mobility, public health, and overall community vitality.</w:t>
      </w:r>
    </w:p>
    <w:p w14:paraId="5F84BA95" w14:textId="77777777" w:rsidR="00A65B48" w:rsidRPr="00A65B48" w:rsidRDefault="00A65B48" w:rsidP="00A65B48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A65B48">
        <w:rPr>
          <w:b/>
          <w:bCs/>
          <w:sz w:val="22"/>
          <w:szCs w:val="22"/>
        </w:rPr>
        <w:t>23.6% of Georgia adults</w:t>
      </w:r>
      <w:r w:rsidRPr="00A65B48">
        <w:rPr>
          <w:sz w:val="22"/>
          <w:szCs w:val="22"/>
        </w:rPr>
        <w:t xml:space="preserve"> have low literacy skills.</w:t>
      </w:r>
    </w:p>
    <w:p w14:paraId="01F6DC5F" w14:textId="77777777" w:rsidR="00A65B48" w:rsidRPr="00A65B48" w:rsidRDefault="00A65B48" w:rsidP="00A65B48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A65B48">
        <w:rPr>
          <w:b/>
          <w:bCs/>
          <w:sz w:val="22"/>
          <w:szCs w:val="22"/>
        </w:rPr>
        <w:t>Two out of three counties</w:t>
      </w:r>
      <w:r w:rsidRPr="00A65B48">
        <w:rPr>
          <w:sz w:val="22"/>
          <w:szCs w:val="22"/>
        </w:rPr>
        <w:t xml:space="preserve"> have at least 25% of residents struggling with basic literacy.</w:t>
      </w:r>
    </w:p>
    <w:p w14:paraId="7670CDC0" w14:textId="19D8A58F" w:rsidR="00A65B48" w:rsidRPr="00A65B48" w:rsidRDefault="00A65B48" w:rsidP="00A65B48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A65B48">
        <w:rPr>
          <w:sz w:val="22"/>
          <w:szCs w:val="22"/>
        </w:rPr>
        <w:t>In 202</w:t>
      </w:r>
      <w:r w:rsidR="0095198C">
        <w:rPr>
          <w:sz w:val="22"/>
          <w:szCs w:val="22"/>
        </w:rPr>
        <w:t>5</w:t>
      </w:r>
      <w:r w:rsidRPr="00A65B48">
        <w:rPr>
          <w:sz w:val="22"/>
          <w:szCs w:val="22"/>
        </w:rPr>
        <w:t xml:space="preserve">, </w:t>
      </w:r>
      <w:r w:rsidR="0095198C">
        <w:rPr>
          <w:sz w:val="22"/>
          <w:szCs w:val="22"/>
        </w:rPr>
        <w:t xml:space="preserve">approximately </w:t>
      </w:r>
      <w:r w:rsidRPr="00A65B48">
        <w:rPr>
          <w:b/>
          <w:bCs/>
          <w:sz w:val="22"/>
          <w:szCs w:val="22"/>
        </w:rPr>
        <w:t>6</w:t>
      </w:r>
      <w:r w:rsidR="0095198C">
        <w:rPr>
          <w:b/>
          <w:bCs/>
          <w:sz w:val="22"/>
          <w:szCs w:val="22"/>
        </w:rPr>
        <w:t>5</w:t>
      </w:r>
      <w:r w:rsidRPr="00A65B48">
        <w:rPr>
          <w:b/>
          <w:bCs/>
          <w:sz w:val="22"/>
          <w:szCs w:val="22"/>
        </w:rPr>
        <w:t xml:space="preserve">% of Georgia’s </w:t>
      </w:r>
      <w:r w:rsidR="0095198C">
        <w:rPr>
          <w:b/>
          <w:bCs/>
          <w:sz w:val="22"/>
          <w:szCs w:val="22"/>
        </w:rPr>
        <w:t>third</w:t>
      </w:r>
      <w:r w:rsidRPr="00A65B48">
        <w:rPr>
          <w:b/>
          <w:bCs/>
          <w:sz w:val="22"/>
          <w:szCs w:val="22"/>
        </w:rPr>
        <w:t xml:space="preserve"> graders were not reading proficiently</w:t>
      </w:r>
      <w:r w:rsidRPr="00A65B48">
        <w:rPr>
          <w:sz w:val="22"/>
          <w:szCs w:val="22"/>
        </w:rPr>
        <w:t>.</w:t>
      </w:r>
    </w:p>
    <w:p w14:paraId="60922328" w14:textId="77777777" w:rsidR="00A65B48" w:rsidRPr="00A65B48" w:rsidRDefault="00A65B48" w:rsidP="00A65B48">
      <w:pPr>
        <w:spacing w:after="120"/>
        <w:rPr>
          <w:sz w:val="22"/>
          <w:szCs w:val="22"/>
        </w:rPr>
      </w:pPr>
      <w:r w:rsidRPr="00A65B48">
        <w:rPr>
          <w:sz w:val="22"/>
          <w:szCs w:val="22"/>
        </w:rPr>
        <w:t xml:space="preserve">Communities with lower literacy rates often face persistent poverty and limited economic </w:t>
      </w:r>
      <w:proofErr w:type="gramStart"/>
      <w:r w:rsidRPr="00A65B48">
        <w:rPr>
          <w:sz w:val="22"/>
          <w:szCs w:val="22"/>
        </w:rPr>
        <w:t>opportunity</w:t>
      </w:r>
      <w:proofErr w:type="gramEnd"/>
      <w:r w:rsidRPr="00A65B48">
        <w:rPr>
          <w:sz w:val="22"/>
          <w:szCs w:val="22"/>
        </w:rPr>
        <w:t>. This program is designed to provide communities with the structure, expertise, and peer network necessary to reverse these trends.</w:t>
      </w:r>
    </w:p>
    <w:p w14:paraId="615B8F5E" w14:textId="77777777" w:rsidR="00A65B48" w:rsidRPr="00A65B48" w:rsidRDefault="00000000" w:rsidP="00A65B48">
      <w:pPr>
        <w:spacing w:after="120"/>
        <w:rPr>
          <w:sz w:val="22"/>
          <w:szCs w:val="22"/>
        </w:rPr>
      </w:pPr>
      <w:r>
        <w:rPr>
          <w:sz w:val="22"/>
          <w:szCs w:val="22"/>
        </w:rPr>
        <w:pict w14:anchorId="70BBF591">
          <v:rect id="_x0000_i1026" style="width:0;height:1.5pt" o:hralign="center" o:hrstd="t" o:hr="t" fillcolor="#a0a0a0" stroked="f"/>
        </w:pict>
      </w:r>
    </w:p>
    <w:p w14:paraId="10980130" w14:textId="77777777" w:rsidR="00A65B48" w:rsidRPr="00A65B48" w:rsidRDefault="00A65B48" w:rsidP="00A65B48">
      <w:pPr>
        <w:spacing w:after="120"/>
        <w:rPr>
          <w:b/>
          <w:bCs/>
          <w:sz w:val="22"/>
          <w:szCs w:val="22"/>
        </w:rPr>
      </w:pPr>
      <w:r w:rsidRPr="00A65B48">
        <w:rPr>
          <w:b/>
          <w:bCs/>
          <w:sz w:val="22"/>
          <w:szCs w:val="22"/>
        </w:rPr>
        <w:t>Program Structure (Three-Year Commitment)</w:t>
      </w:r>
    </w:p>
    <w:p w14:paraId="32724177" w14:textId="77777777" w:rsidR="00A65B48" w:rsidRPr="00A65B48" w:rsidRDefault="00A65B48" w:rsidP="00A65B48">
      <w:pPr>
        <w:spacing w:after="120"/>
        <w:rPr>
          <w:sz w:val="22"/>
          <w:szCs w:val="22"/>
        </w:rPr>
      </w:pPr>
      <w:proofErr w:type="gramStart"/>
      <w:r w:rsidRPr="00A65B48">
        <w:rPr>
          <w:sz w:val="22"/>
          <w:szCs w:val="22"/>
        </w:rPr>
        <w:t>Participating</w:t>
      </w:r>
      <w:proofErr w:type="gramEnd"/>
      <w:r w:rsidRPr="00A65B48">
        <w:rPr>
          <w:sz w:val="22"/>
          <w:szCs w:val="22"/>
        </w:rPr>
        <w:t xml:space="preserve"> communities will:</w:t>
      </w:r>
    </w:p>
    <w:p w14:paraId="64464074" w14:textId="77777777" w:rsidR="00A65B48" w:rsidRPr="00A65B48" w:rsidRDefault="00A65B48" w:rsidP="00A65B48">
      <w:pPr>
        <w:spacing w:after="120"/>
        <w:rPr>
          <w:b/>
          <w:bCs/>
          <w:sz w:val="22"/>
          <w:szCs w:val="22"/>
        </w:rPr>
      </w:pPr>
      <w:proofErr w:type="gramStart"/>
      <w:r w:rsidRPr="00A65B48">
        <w:rPr>
          <w:b/>
          <w:bCs/>
          <w:sz w:val="22"/>
          <w:szCs w:val="22"/>
        </w:rPr>
        <w:t>Form</w:t>
      </w:r>
      <w:proofErr w:type="gramEnd"/>
      <w:r w:rsidRPr="00A65B48">
        <w:rPr>
          <w:b/>
          <w:bCs/>
          <w:sz w:val="22"/>
          <w:szCs w:val="22"/>
        </w:rPr>
        <w:t xml:space="preserve"> a Local Literacy Leadership Team</w:t>
      </w:r>
    </w:p>
    <w:p w14:paraId="76239441" w14:textId="77777777" w:rsidR="00A65B48" w:rsidRPr="00A65B48" w:rsidRDefault="00A65B48" w:rsidP="00A65B48">
      <w:pPr>
        <w:spacing w:after="120"/>
        <w:rPr>
          <w:sz w:val="22"/>
          <w:szCs w:val="22"/>
        </w:rPr>
      </w:pPr>
      <w:r w:rsidRPr="00A65B48">
        <w:rPr>
          <w:sz w:val="22"/>
          <w:szCs w:val="22"/>
        </w:rPr>
        <w:t>Each community must assemble a cross-sector stakeholder team that includes representation from:</w:t>
      </w:r>
    </w:p>
    <w:p w14:paraId="73ECDB04" w14:textId="77777777" w:rsidR="007445EE" w:rsidRDefault="007445EE" w:rsidP="00A65B48">
      <w:pPr>
        <w:numPr>
          <w:ilvl w:val="0"/>
          <w:numId w:val="2"/>
        </w:numPr>
        <w:spacing w:after="120"/>
        <w:rPr>
          <w:sz w:val="22"/>
          <w:szCs w:val="22"/>
        </w:rPr>
        <w:sectPr w:rsidR="007445EE" w:rsidSect="00A65B48">
          <w:pgSz w:w="12240" w:h="15840"/>
          <w:pgMar w:top="990" w:right="1440" w:bottom="1440" w:left="1440" w:header="720" w:footer="720" w:gutter="0"/>
          <w:cols w:space="720"/>
          <w:docGrid w:linePitch="360"/>
        </w:sectPr>
      </w:pPr>
    </w:p>
    <w:p w14:paraId="4DFB73F4" w14:textId="77777777" w:rsidR="00A65B48" w:rsidRPr="00A65B48" w:rsidRDefault="00A65B48" w:rsidP="00A65B48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A65B48">
        <w:rPr>
          <w:sz w:val="22"/>
          <w:szCs w:val="22"/>
        </w:rPr>
        <w:t>Local government (mayor/municipal officials)</w:t>
      </w:r>
    </w:p>
    <w:p w14:paraId="429C38AC" w14:textId="77777777" w:rsidR="00A65B48" w:rsidRPr="00A65B48" w:rsidRDefault="00A65B48" w:rsidP="00A65B48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A65B48">
        <w:rPr>
          <w:sz w:val="22"/>
          <w:szCs w:val="22"/>
        </w:rPr>
        <w:t>School district leadership</w:t>
      </w:r>
    </w:p>
    <w:p w14:paraId="7E3700F0" w14:textId="77777777" w:rsidR="00A65B48" w:rsidRPr="00A65B48" w:rsidRDefault="00A65B48" w:rsidP="00A65B48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A65B48">
        <w:rPr>
          <w:sz w:val="22"/>
          <w:szCs w:val="22"/>
        </w:rPr>
        <w:t>Public library</w:t>
      </w:r>
    </w:p>
    <w:p w14:paraId="1F2BEAF4" w14:textId="47BD38BA" w:rsidR="00A65B48" w:rsidRDefault="00A65B48" w:rsidP="00A65B48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A65B48">
        <w:rPr>
          <w:sz w:val="22"/>
          <w:szCs w:val="22"/>
        </w:rPr>
        <w:t>Business community</w:t>
      </w:r>
    </w:p>
    <w:p w14:paraId="343224A2" w14:textId="2FC799D0" w:rsidR="00290857" w:rsidRPr="00290857" w:rsidRDefault="007445EE" w:rsidP="00290857">
      <w:pPr>
        <w:numPr>
          <w:ilvl w:val="0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Healthcare</w:t>
      </w:r>
      <w:r w:rsidR="00290857">
        <w:rPr>
          <w:sz w:val="22"/>
          <w:szCs w:val="22"/>
        </w:rPr>
        <w:t xml:space="preserve"> System</w:t>
      </w:r>
    </w:p>
    <w:p w14:paraId="4557DF6B" w14:textId="5598B8E3" w:rsidR="007445EE" w:rsidRDefault="007445EE" w:rsidP="00A65B48">
      <w:pPr>
        <w:numPr>
          <w:ilvl w:val="0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Early Care &amp; Learning</w:t>
      </w:r>
    </w:p>
    <w:p w14:paraId="2CD3A002" w14:textId="03F650C1" w:rsidR="007445EE" w:rsidRDefault="00A24E10" w:rsidP="00A65B48">
      <w:pPr>
        <w:numPr>
          <w:ilvl w:val="0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Chamber of Commerce</w:t>
      </w:r>
    </w:p>
    <w:p w14:paraId="4E846C2E" w14:textId="5C42D1FD" w:rsidR="00A24E10" w:rsidRDefault="00A24E10" w:rsidP="00A65B48">
      <w:pPr>
        <w:numPr>
          <w:ilvl w:val="0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Development Authority</w:t>
      </w:r>
    </w:p>
    <w:p w14:paraId="3C3AE5CC" w14:textId="4DD10997" w:rsidR="00A24E10" w:rsidRPr="00A65B48" w:rsidRDefault="00A24E10" w:rsidP="00A65B48">
      <w:pPr>
        <w:numPr>
          <w:ilvl w:val="0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Family &amp; Juvenile Court</w:t>
      </w:r>
    </w:p>
    <w:p w14:paraId="72E15E8A" w14:textId="77777777" w:rsidR="00A65B48" w:rsidRPr="00A65B48" w:rsidRDefault="00A65B48" w:rsidP="00A65B48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A65B48">
        <w:rPr>
          <w:sz w:val="22"/>
          <w:szCs w:val="22"/>
        </w:rPr>
        <w:t>Nonprofit organizations</w:t>
      </w:r>
    </w:p>
    <w:p w14:paraId="4AF4D469" w14:textId="4A092889" w:rsidR="00A65B48" w:rsidRPr="00A65B48" w:rsidRDefault="00A65B48" w:rsidP="00A65B48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A65B48">
        <w:rPr>
          <w:sz w:val="22"/>
          <w:szCs w:val="22"/>
        </w:rPr>
        <w:t>Other key community partners</w:t>
      </w:r>
    </w:p>
    <w:p w14:paraId="609B0E94" w14:textId="77777777" w:rsidR="007445EE" w:rsidRDefault="007445EE" w:rsidP="00A65B48">
      <w:pPr>
        <w:spacing w:after="120"/>
        <w:rPr>
          <w:b/>
          <w:bCs/>
          <w:sz w:val="22"/>
          <w:szCs w:val="22"/>
        </w:rPr>
        <w:sectPr w:rsidR="007445EE" w:rsidSect="007445EE">
          <w:type w:val="continuous"/>
          <w:pgSz w:w="12240" w:h="15840"/>
          <w:pgMar w:top="990" w:right="1440" w:bottom="1440" w:left="1440" w:header="720" w:footer="720" w:gutter="0"/>
          <w:cols w:num="2" w:space="720"/>
          <w:docGrid w:linePitch="360"/>
        </w:sectPr>
      </w:pPr>
    </w:p>
    <w:p w14:paraId="2D8598C9" w14:textId="534A9642" w:rsidR="00A65B48" w:rsidRPr="00A65B48" w:rsidRDefault="00A65B48" w:rsidP="00A65B48">
      <w:pPr>
        <w:spacing w:after="120"/>
        <w:rPr>
          <w:b/>
          <w:bCs/>
          <w:sz w:val="22"/>
          <w:szCs w:val="22"/>
        </w:rPr>
      </w:pPr>
      <w:proofErr w:type="gramStart"/>
      <w:r w:rsidRPr="00A65B48">
        <w:rPr>
          <w:b/>
          <w:bCs/>
          <w:sz w:val="22"/>
          <w:szCs w:val="22"/>
        </w:rPr>
        <w:lastRenderedPageBreak/>
        <w:t>Participate</w:t>
      </w:r>
      <w:proofErr w:type="gramEnd"/>
      <w:r w:rsidRPr="00A65B48">
        <w:rPr>
          <w:b/>
          <w:bCs/>
          <w:sz w:val="22"/>
          <w:szCs w:val="22"/>
        </w:rPr>
        <w:t xml:space="preserve"> in Structured Retreats</w:t>
      </w:r>
    </w:p>
    <w:p w14:paraId="79432C49" w14:textId="5A587DCF" w:rsidR="00A65B48" w:rsidRPr="00A65B48" w:rsidRDefault="00A65B48" w:rsidP="00A65B48">
      <w:pPr>
        <w:numPr>
          <w:ilvl w:val="0"/>
          <w:numId w:val="3"/>
        </w:numPr>
        <w:spacing w:after="120"/>
        <w:rPr>
          <w:sz w:val="22"/>
          <w:szCs w:val="22"/>
        </w:rPr>
      </w:pPr>
      <w:r w:rsidRPr="00A65B48">
        <w:rPr>
          <w:b/>
          <w:bCs/>
          <w:sz w:val="22"/>
          <w:szCs w:val="22"/>
        </w:rPr>
        <w:t>Two retreats per year</w:t>
      </w:r>
    </w:p>
    <w:p w14:paraId="2106E17C" w14:textId="77777777" w:rsidR="00A65B48" w:rsidRPr="00A65B48" w:rsidRDefault="00A65B48" w:rsidP="00A65B48">
      <w:pPr>
        <w:numPr>
          <w:ilvl w:val="0"/>
          <w:numId w:val="3"/>
        </w:numPr>
        <w:spacing w:after="120"/>
        <w:rPr>
          <w:sz w:val="22"/>
          <w:szCs w:val="22"/>
        </w:rPr>
      </w:pPr>
      <w:r w:rsidRPr="00A65B48">
        <w:rPr>
          <w:b/>
          <w:bCs/>
          <w:sz w:val="22"/>
          <w:szCs w:val="22"/>
        </w:rPr>
        <w:t>Minimum of five team members required at each retreat</w:t>
      </w:r>
    </w:p>
    <w:p w14:paraId="20051A5B" w14:textId="77777777" w:rsidR="00A65B48" w:rsidRPr="00A65B48" w:rsidRDefault="00A65B48" w:rsidP="00A65B48">
      <w:pPr>
        <w:numPr>
          <w:ilvl w:val="0"/>
          <w:numId w:val="3"/>
        </w:numPr>
        <w:spacing w:after="120"/>
        <w:rPr>
          <w:sz w:val="22"/>
          <w:szCs w:val="22"/>
        </w:rPr>
      </w:pPr>
      <w:r w:rsidRPr="00A65B48">
        <w:rPr>
          <w:sz w:val="22"/>
          <w:szCs w:val="22"/>
        </w:rPr>
        <w:t>Retreats include expert-led education, facilitated strategy sessions, peer learning, and implementation planning</w:t>
      </w:r>
    </w:p>
    <w:p w14:paraId="7ED0D365" w14:textId="77777777" w:rsidR="00A65B48" w:rsidRPr="00A65B48" w:rsidRDefault="00A65B48" w:rsidP="00A65B48">
      <w:pPr>
        <w:spacing w:after="120"/>
        <w:rPr>
          <w:b/>
          <w:bCs/>
          <w:sz w:val="22"/>
          <w:szCs w:val="22"/>
        </w:rPr>
      </w:pPr>
      <w:r w:rsidRPr="00A65B48">
        <w:rPr>
          <w:b/>
          <w:bCs/>
          <w:sz w:val="22"/>
          <w:szCs w:val="22"/>
        </w:rPr>
        <w:t>Work with a Dedicated Facilitator</w:t>
      </w:r>
    </w:p>
    <w:p w14:paraId="2C4ACEB1" w14:textId="6C391E5A" w:rsidR="00A65B48" w:rsidRPr="00A65B48" w:rsidRDefault="00A65B48" w:rsidP="00A65B48">
      <w:pPr>
        <w:spacing w:after="120"/>
        <w:rPr>
          <w:sz w:val="22"/>
          <w:szCs w:val="22"/>
        </w:rPr>
      </w:pPr>
      <w:r w:rsidRPr="00A65B48">
        <w:rPr>
          <w:sz w:val="22"/>
          <w:szCs w:val="22"/>
        </w:rPr>
        <w:t>Each community team will be paired with a trained facilitator who will:</w:t>
      </w:r>
    </w:p>
    <w:p w14:paraId="4CE81FA9" w14:textId="77777777" w:rsidR="00A65B48" w:rsidRPr="00A65B48" w:rsidRDefault="00A65B48" w:rsidP="00A65B48">
      <w:pPr>
        <w:numPr>
          <w:ilvl w:val="0"/>
          <w:numId w:val="4"/>
        </w:numPr>
        <w:spacing w:after="120"/>
        <w:rPr>
          <w:sz w:val="22"/>
          <w:szCs w:val="22"/>
        </w:rPr>
      </w:pPr>
      <w:r w:rsidRPr="00A65B48">
        <w:rPr>
          <w:sz w:val="22"/>
          <w:szCs w:val="22"/>
        </w:rPr>
        <w:t>Guide strategic planning</w:t>
      </w:r>
    </w:p>
    <w:p w14:paraId="00137B8D" w14:textId="77777777" w:rsidR="00A65B48" w:rsidRPr="00A65B48" w:rsidRDefault="00A65B48" w:rsidP="00A65B48">
      <w:pPr>
        <w:numPr>
          <w:ilvl w:val="0"/>
          <w:numId w:val="4"/>
        </w:numPr>
        <w:spacing w:after="120"/>
        <w:rPr>
          <w:sz w:val="22"/>
          <w:szCs w:val="22"/>
        </w:rPr>
      </w:pPr>
      <w:r w:rsidRPr="00A65B48">
        <w:rPr>
          <w:sz w:val="22"/>
          <w:szCs w:val="22"/>
        </w:rPr>
        <w:t>Support team alignment and accountability</w:t>
      </w:r>
    </w:p>
    <w:p w14:paraId="06778BF2" w14:textId="77777777" w:rsidR="00A65B48" w:rsidRPr="00A65B48" w:rsidRDefault="00A65B48" w:rsidP="00A65B48">
      <w:pPr>
        <w:numPr>
          <w:ilvl w:val="0"/>
          <w:numId w:val="4"/>
        </w:numPr>
        <w:spacing w:after="120"/>
        <w:rPr>
          <w:sz w:val="22"/>
          <w:szCs w:val="22"/>
        </w:rPr>
      </w:pPr>
      <w:r w:rsidRPr="00A65B48">
        <w:rPr>
          <w:sz w:val="22"/>
          <w:szCs w:val="22"/>
        </w:rPr>
        <w:t>Connect the community to statewide research and resources</w:t>
      </w:r>
    </w:p>
    <w:p w14:paraId="33406D7A" w14:textId="77777777" w:rsidR="00A65B48" w:rsidRPr="00A65B48" w:rsidRDefault="00A65B48" w:rsidP="00A65B48">
      <w:pPr>
        <w:numPr>
          <w:ilvl w:val="0"/>
          <w:numId w:val="4"/>
        </w:numPr>
        <w:spacing w:after="120"/>
        <w:rPr>
          <w:sz w:val="22"/>
          <w:szCs w:val="22"/>
        </w:rPr>
      </w:pPr>
      <w:r w:rsidRPr="00A65B48">
        <w:rPr>
          <w:sz w:val="22"/>
          <w:szCs w:val="22"/>
        </w:rPr>
        <w:t>Help translate learning into actionable local strategies</w:t>
      </w:r>
    </w:p>
    <w:p w14:paraId="49B4A90C" w14:textId="67CBCF1F" w:rsidR="00A65B48" w:rsidRPr="00A65B48" w:rsidRDefault="00000000" w:rsidP="00A65B48">
      <w:pPr>
        <w:spacing w:after="120"/>
        <w:rPr>
          <w:sz w:val="22"/>
          <w:szCs w:val="22"/>
        </w:rPr>
      </w:pPr>
      <w:r>
        <w:rPr>
          <w:sz w:val="22"/>
          <w:szCs w:val="22"/>
        </w:rPr>
        <w:pict w14:anchorId="75C8AB51">
          <v:rect id="_x0000_i1027" style="width:0;height:1.5pt" o:hralign="center" o:hrstd="t" o:hr="t" fillcolor="#a0a0a0" stroked="f"/>
        </w:pict>
      </w:r>
    </w:p>
    <w:p w14:paraId="32C5FCD0" w14:textId="77777777" w:rsidR="00A65B48" w:rsidRPr="00A65B48" w:rsidRDefault="00A65B48" w:rsidP="00A65B48">
      <w:pPr>
        <w:spacing w:after="120"/>
        <w:rPr>
          <w:b/>
          <w:bCs/>
          <w:sz w:val="22"/>
          <w:szCs w:val="22"/>
        </w:rPr>
      </w:pPr>
      <w:r w:rsidRPr="00A65B48">
        <w:rPr>
          <w:b/>
          <w:bCs/>
          <w:sz w:val="22"/>
          <w:szCs w:val="22"/>
        </w:rPr>
        <w:t>Strategic Framework</w:t>
      </w:r>
    </w:p>
    <w:p w14:paraId="70808E07" w14:textId="77777777" w:rsidR="00A65B48" w:rsidRPr="00A65B48" w:rsidRDefault="00A65B48" w:rsidP="00A65B48">
      <w:pPr>
        <w:spacing w:after="120"/>
        <w:rPr>
          <w:sz w:val="22"/>
          <w:szCs w:val="22"/>
        </w:rPr>
      </w:pPr>
      <w:r w:rsidRPr="00A65B48">
        <w:rPr>
          <w:sz w:val="22"/>
          <w:szCs w:val="22"/>
        </w:rPr>
        <w:t xml:space="preserve">All work will align with the </w:t>
      </w:r>
      <w:r w:rsidRPr="00A65B48">
        <w:rPr>
          <w:b/>
          <w:bCs/>
          <w:sz w:val="22"/>
          <w:szCs w:val="22"/>
        </w:rPr>
        <w:t>Get Georgia Reading Four Pillars</w:t>
      </w:r>
      <w:r w:rsidRPr="00A65B48">
        <w:rPr>
          <w:sz w:val="22"/>
          <w:szCs w:val="22"/>
        </w:rPr>
        <w:t>:</w:t>
      </w:r>
    </w:p>
    <w:p w14:paraId="0ED593EA" w14:textId="77777777" w:rsidR="00A65B48" w:rsidRPr="00A65B48" w:rsidRDefault="00A65B48" w:rsidP="00A65B48">
      <w:pPr>
        <w:numPr>
          <w:ilvl w:val="0"/>
          <w:numId w:val="5"/>
        </w:numPr>
        <w:spacing w:after="120"/>
        <w:rPr>
          <w:sz w:val="22"/>
          <w:szCs w:val="22"/>
        </w:rPr>
      </w:pPr>
      <w:r w:rsidRPr="00A65B48">
        <w:rPr>
          <w:b/>
          <w:bCs/>
          <w:sz w:val="22"/>
          <w:szCs w:val="22"/>
        </w:rPr>
        <w:t>Language Nutrition</w:t>
      </w:r>
      <w:r w:rsidRPr="00A65B48">
        <w:rPr>
          <w:sz w:val="22"/>
          <w:szCs w:val="22"/>
        </w:rPr>
        <w:t xml:space="preserve"> – Promoting early language-rich interactions.</w:t>
      </w:r>
    </w:p>
    <w:p w14:paraId="329824BE" w14:textId="77777777" w:rsidR="00A65B48" w:rsidRPr="00A65B48" w:rsidRDefault="00A65B48" w:rsidP="00A65B48">
      <w:pPr>
        <w:numPr>
          <w:ilvl w:val="0"/>
          <w:numId w:val="5"/>
        </w:numPr>
        <w:spacing w:after="120"/>
        <w:rPr>
          <w:sz w:val="22"/>
          <w:szCs w:val="22"/>
        </w:rPr>
      </w:pPr>
      <w:r w:rsidRPr="00A65B48">
        <w:rPr>
          <w:b/>
          <w:bCs/>
          <w:sz w:val="22"/>
          <w:szCs w:val="22"/>
        </w:rPr>
        <w:t>Access</w:t>
      </w:r>
      <w:r w:rsidRPr="00A65B48">
        <w:rPr>
          <w:sz w:val="22"/>
          <w:szCs w:val="22"/>
        </w:rPr>
        <w:t xml:space="preserve"> – Expanding year-round literacy resources.</w:t>
      </w:r>
    </w:p>
    <w:p w14:paraId="11C6515C" w14:textId="41859EB8" w:rsidR="00A65B48" w:rsidRPr="00A65B48" w:rsidRDefault="00A65B48" w:rsidP="00A65B48">
      <w:pPr>
        <w:numPr>
          <w:ilvl w:val="0"/>
          <w:numId w:val="5"/>
        </w:numPr>
        <w:spacing w:after="120"/>
        <w:rPr>
          <w:sz w:val="22"/>
          <w:szCs w:val="22"/>
        </w:rPr>
      </w:pPr>
      <w:r w:rsidRPr="00A65B48">
        <w:rPr>
          <w:b/>
          <w:bCs/>
          <w:sz w:val="22"/>
          <w:szCs w:val="22"/>
        </w:rPr>
        <w:t>Positive Learning Climate</w:t>
      </w:r>
      <w:r w:rsidRPr="00A65B48">
        <w:rPr>
          <w:sz w:val="22"/>
          <w:szCs w:val="22"/>
        </w:rPr>
        <w:t xml:space="preserve"> – Strengthening attendance, engagement, and social-emotional supports.</w:t>
      </w:r>
    </w:p>
    <w:p w14:paraId="002C0314" w14:textId="77777777" w:rsidR="00A65B48" w:rsidRPr="00A65B48" w:rsidRDefault="00A65B48" w:rsidP="00A65B48">
      <w:pPr>
        <w:numPr>
          <w:ilvl w:val="0"/>
          <w:numId w:val="5"/>
        </w:numPr>
        <w:spacing w:after="120"/>
        <w:rPr>
          <w:sz w:val="22"/>
          <w:szCs w:val="22"/>
        </w:rPr>
      </w:pPr>
      <w:r w:rsidRPr="00A65B48">
        <w:rPr>
          <w:b/>
          <w:bCs/>
          <w:sz w:val="22"/>
          <w:szCs w:val="22"/>
        </w:rPr>
        <w:t>Teacher Preparation &amp; Effectiveness</w:t>
      </w:r>
      <w:r w:rsidRPr="00A65B48">
        <w:rPr>
          <w:sz w:val="22"/>
          <w:szCs w:val="22"/>
        </w:rPr>
        <w:t xml:space="preserve"> – Supporting educator capacity.</w:t>
      </w:r>
    </w:p>
    <w:p w14:paraId="337EC2C6" w14:textId="77777777" w:rsidR="00A65B48" w:rsidRPr="00A65B48" w:rsidRDefault="00A65B48" w:rsidP="00A65B48">
      <w:pPr>
        <w:spacing w:after="120"/>
        <w:rPr>
          <w:sz w:val="22"/>
          <w:szCs w:val="22"/>
        </w:rPr>
      </w:pPr>
      <w:r w:rsidRPr="00A65B48">
        <w:rPr>
          <w:sz w:val="22"/>
          <w:szCs w:val="22"/>
        </w:rPr>
        <w:t xml:space="preserve">Each participating community will develop a </w:t>
      </w:r>
      <w:r w:rsidRPr="00A65B48">
        <w:rPr>
          <w:b/>
          <w:bCs/>
          <w:sz w:val="22"/>
          <w:szCs w:val="22"/>
        </w:rPr>
        <w:t>locally driven literacy strategic plan</w:t>
      </w:r>
      <w:r w:rsidRPr="00A65B48">
        <w:rPr>
          <w:sz w:val="22"/>
          <w:szCs w:val="22"/>
        </w:rPr>
        <w:t xml:space="preserve"> to guide long-term implementation beyond the program term.</w:t>
      </w:r>
    </w:p>
    <w:p w14:paraId="72A933F1" w14:textId="6EAD4464" w:rsidR="00A65B48" w:rsidRPr="00A65B48" w:rsidRDefault="00000000" w:rsidP="00A65B48">
      <w:pPr>
        <w:spacing w:after="120"/>
        <w:rPr>
          <w:sz w:val="22"/>
          <w:szCs w:val="22"/>
        </w:rPr>
      </w:pPr>
      <w:r>
        <w:rPr>
          <w:sz w:val="22"/>
          <w:szCs w:val="22"/>
        </w:rPr>
        <w:pict w14:anchorId="62408383">
          <v:rect id="_x0000_i1028" style="width:0;height:1.5pt" o:hralign="center" o:hrstd="t" o:hr="t" fillcolor="#a0a0a0" stroked="f"/>
        </w:pict>
      </w:r>
    </w:p>
    <w:p w14:paraId="603AA161" w14:textId="77777777" w:rsidR="00A65B48" w:rsidRPr="00A65B48" w:rsidRDefault="00A65B48" w:rsidP="00A65B48">
      <w:pPr>
        <w:spacing w:after="120"/>
        <w:rPr>
          <w:b/>
          <w:bCs/>
          <w:sz w:val="22"/>
          <w:szCs w:val="22"/>
        </w:rPr>
      </w:pPr>
      <w:r w:rsidRPr="00A65B48">
        <w:rPr>
          <w:b/>
          <w:bCs/>
          <w:sz w:val="22"/>
          <w:szCs w:val="22"/>
        </w:rPr>
        <w:t>Who Should Apply?</w:t>
      </w:r>
    </w:p>
    <w:p w14:paraId="444DF7C1" w14:textId="77777777" w:rsidR="00A65B48" w:rsidRPr="00A65B48" w:rsidRDefault="00A65B48" w:rsidP="00A65B48">
      <w:pPr>
        <w:spacing w:after="120"/>
        <w:rPr>
          <w:sz w:val="22"/>
          <w:szCs w:val="22"/>
        </w:rPr>
      </w:pPr>
      <w:r w:rsidRPr="00A65B48">
        <w:rPr>
          <w:sz w:val="22"/>
          <w:szCs w:val="22"/>
        </w:rPr>
        <w:t>Communities that:</w:t>
      </w:r>
    </w:p>
    <w:p w14:paraId="7E268811" w14:textId="4EC6FE44" w:rsidR="00A65B48" w:rsidRPr="00A65B48" w:rsidRDefault="00A65B48" w:rsidP="00A65B48">
      <w:pPr>
        <w:numPr>
          <w:ilvl w:val="0"/>
          <w:numId w:val="7"/>
        </w:numPr>
        <w:spacing w:after="120"/>
        <w:rPr>
          <w:sz w:val="22"/>
          <w:szCs w:val="22"/>
        </w:rPr>
      </w:pPr>
      <w:r w:rsidRPr="00A65B48">
        <w:rPr>
          <w:sz w:val="22"/>
          <w:szCs w:val="22"/>
        </w:rPr>
        <w:t>Are ready for cross-sector collaboration</w:t>
      </w:r>
    </w:p>
    <w:p w14:paraId="273EF607" w14:textId="6C5DD133" w:rsidR="00A65B48" w:rsidRPr="00A65B48" w:rsidRDefault="00A65B48" w:rsidP="00A65B48">
      <w:pPr>
        <w:numPr>
          <w:ilvl w:val="0"/>
          <w:numId w:val="7"/>
        </w:numPr>
        <w:spacing w:after="120"/>
        <w:rPr>
          <w:sz w:val="22"/>
          <w:szCs w:val="22"/>
        </w:rPr>
      </w:pPr>
      <w:r w:rsidRPr="00A65B48">
        <w:rPr>
          <w:sz w:val="22"/>
          <w:szCs w:val="22"/>
        </w:rPr>
        <w:t>Have strong mayoral/municipal leadership engagement</w:t>
      </w:r>
    </w:p>
    <w:p w14:paraId="35713C24" w14:textId="068B7634" w:rsidR="00A65B48" w:rsidRPr="00A65B48" w:rsidRDefault="00A65B48" w:rsidP="00A65B48">
      <w:pPr>
        <w:numPr>
          <w:ilvl w:val="0"/>
          <w:numId w:val="7"/>
        </w:numPr>
        <w:spacing w:after="120"/>
        <w:rPr>
          <w:sz w:val="22"/>
          <w:szCs w:val="22"/>
        </w:rPr>
      </w:pPr>
      <w:r w:rsidRPr="00A65B48">
        <w:rPr>
          <w:sz w:val="22"/>
          <w:szCs w:val="22"/>
        </w:rPr>
        <w:t>Are committed to a structured three-year capacity-building process</w:t>
      </w:r>
    </w:p>
    <w:p w14:paraId="541D0380" w14:textId="75F9446F" w:rsidR="00A65B48" w:rsidRPr="00A65B48" w:rsidRDefault="00A65B48" w:rsidP="00A65B48">
      <w:pPr>
        <w:numPr>
          <w:ilvl w:val="0"/>
          <w:numId w:val="7"/>
        </w:numPr>
        <w:spacing w:after="120"/>
        <w:rPr>
          <w:sz w:val="22"/>
          <w:szCs w:val="22"/>
        </w:rPr>
      </w:pPr>
      <w:proofErr w:type="gramStart"/>
      <w:r w:rsidRPr="00A65B48">
        <w:rPr>
          <w:sz w:val="22"/>
          <w:szCs w:val="22"/>
        </w:rPr>
        <w:t>Want</w:t>
      </w:r>
      <w:proofErr w:type="gramEnd"/>
      <w:r w:rsidRPr="00A65B48">
        <w:rPr>
          <w:sz w:val="22"/>
          <w:szCs w:val="22"/>
        </w:rPr>
        <w:t xml:space="preserve"> to connect local efforts to statewide literacy research and strategy</w:t>
      </w:r>
    </w:p>
    <w:p w14:paraId="781C17D8" w14:textId="063987E6" w:rsidR="00A65B48" w:rsidRPr="00A65B48" w:rsidRDefault="00000000" w:rsidP="00A65B48">
      <w:pPr>
        <w:spacing w:after="120"/>
        <w:rPr>
          <w:sz w:val="22"/>
          <w:szCs w:val="22"/>
        </w:rPr>
      </w:pPr>
      <w:r>
        <w:rPr>
          <w:sz w:val="22"/>
          <w:szCs w:val="22"/>
        </w:rPr>
        <w:pict w14:anchorId="600225D5">
          <v:rect id="_x0000_i1029" style="width:0;height:1.5pt" o:hralign="center" o:hrstd="t" o:hr="t" fillcolor="#a0a0a0" stroked="f"/>
        </w:pict>
      </w:r>
    </w:p>
    <w:p w14:paraId="28E2DE4E" w14:textId="581F8482" w:rsidR="0086166E" w:rsidRDefault="00B804B7" w:rsidP="00B804B7"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19B30CC" wp14:editId="1C2DA5F6">
            <wp:simplePos x="0" y="0"/>
            <wp:positionH relativeFrom="margin">
              <wp:align>right</wp:align>
            </wp:positionH>
            <wp:positionV relativeFrom="paragraph">
              <wp:posOffset>952500</wp:posOffset>
            </wp:positionV>
            <wp:extent cx="2219325" cy="418144"/>
            <wp:effectExtent l="0" t="0" r="0" b="1270"/>
            <wp:wrapNone/>
            <wp:docPr id="1162177946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177946" name="Picture 1" descr="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418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04B7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C0F536" wp14:editId="229C585E">
                <wp:simplePos x="0" y="0"/>
                <wp:positionH relativeFrom="margin">
                  <wp:posOffset>-104775</wp:posOffset>
                </wp:positionH>
                <wp:positionV relativeFrom="paragraph">
                  <wp:posOffset>796290</wp:posOffset>
                </wp:positionV>
                <wp:extent cx="376237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5982E" w14:textId="77777777" w:rsidR="00B804B7" w:rsidRPr="00B804B7" w:rsidRDefault="00B804B7" w:rsidP="00B804B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804B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For more information:</w:t>
                            </w:r>
                          </w:p>
                          <w:p w14:paraId="00DB6079" w14:textId="77777777" w:rsidR="00B804B7" w:rsidRDefault="00B804B7" w:rsidP="00B804B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804B7">
                              <w:rPr>
                                <w:sz w:val="20"/>
                                <w:szCs w:val="20"/>
                              </w:rPr>
                              <w:t xml:space="preserve">GeorgiaForward@gacities.com </w:t>
                            </w:r>
                          </w:p>
                          <w:p w14:paraId="60DE98A4" w14:textId="083C0012" w:rsidR="00B804B7" w:rsidRPr="00B804B7" w:rsidRDefault="00B804B7" w:rsidP="00B804B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804B7">
                              <w:rPr>
                                <w:sz w:val="20"/>
                                <w:szCs w:val="20"/>
                              </w:rPr>
                              <w:t>www.GeorgiaForward.org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C0F5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25pt;margin-top:62.7pt;width:29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" filled="f" stroked="f">
                <v:textbox style="mso-fit-shape-to-text:t">
                  <w:txbxContent>
                    <w:p w14:paraId="67D5982E" w14:textId="77777777" w:rsidR="00B804B7" w:rsidRPr="00B804B7" w:rsidRDefault="00B804B7" w:rsidP="00B804B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804B7">
                        <w:rPr>
                          <w:b/>
                          <w:bCs/>
                          <w:sz w:val="20"/>
                          <w:szCs w:val="20"/>
                        </w:rPr>
                        <w:t>For more information:</w:t>
                      </w:r>
                    </w:p>
                    <w:p w14:paraId="00DB6079" w14:textId="77777777" w:rsidR="00B804B7" w:rsidRDefault="00B804B7" w:rsidP="00B804B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804B7">
                        <w:rPr>
                          <w:sz w:val="20"/>
                          <w:szCs w:val="20"/>
                        </w:rPr>
                        <w:t xml:space="preserve">GeorgiaForward@gacities.com </w:t>
                      </w:r>
                    </w:p>
                    <w:p w14:paraId="60DE98A4" w14:textId="083C0012" w:rsidR="00B804B7" w:rsidRPr="00B804B7" w:rsidRDefault="00B804B7" w:rsidP="00B804B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804B7">
                        <w:rPr>
                          <w:sz w:val="20"/>
                          <w:szCs w:val="20"/>
                        </w:rPr>
                        <w:t>www.GeorgiaForward.org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5B48" w:rsidRPr="00A65B48">
        <w:rPr>
          <w:b/>
          <w:bCs/>
          <w:sz w:val="22"/>
          <w:szCs w:val="22"/>
        </w:rPr>
        <w:t>Georgia’s literacy challenges are solvable.</w:t>
      </w:r>
      <w:r w:rsidR="00A65B48" w:rsidRPr="00A65B48">
        <w:rPr>
          <w:sz w:val="22"/>
          <w:szCs w:val="22"/>
        </w:rPr>
        <w:br/>
        <w:t>The Georgia Community Literacy Collaborative provides the structure, leadership alignment, and strategic framework to move communities toward measurable progress.</w:t>
      </w:r>
      <w:r w:rsidRPr="00B804B7">
        <w:t xml:space="preserve"> </w:t>
      </w:r>
    </w:p>
    <w:sectPr w:rsidR="0086166E" w:rsidSect="007445EE">
      <w:type w:val="continuous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B2FC7"/>
    <w:multiLevelType w:val="multilevel"/>
    <w:tmpl w:val="41F0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9065A"/>
    <w:multiLevelType w:val="multilevel"/>
    <w:tmpl w:val="A49C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0D0264"/>
    <w:multiLevelType w:val="multilevel"/>
    <w:tmpl w:val="BA04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7D015A"/>
    <w:multiLevelType w:val="multilevel"/>
    <w:tmpl w:val="098A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CB7AD9"/>
    <w:multiLevelType w:val="multilevel"/>
    <w:tmpl w:val="63DE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BF4E69"/>
    <w:multiLevelType w:val="multilevel"/>
    <w:tmpl w:val="8B8C0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400F0C"/>
    <w:multiLevelType w:val="multilevel"/>
    <w:tmpl w:val="F9E2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4000715">
    <w:abstractNumId w:val="4"/>
  </w:num>
  <w:num w:numId="2" w16cid:durableId="1940794836">
    <w:abstractNumId w:val="2"/>
  </w:num>
  <w:num w:numId="3" w16cid:durableId="124324318">
    <w:abstractNumId w:val="6"/>
  </w:num>
  <w:num w:numId="4" w16cid:durableId="2110614647">
    <w:abstractNumId w:val="1"/>
  </w:num>
  <w:num w:numId="5" w16cid:durableId="715205015">
    <w:abstractNumId w:val="5"/>
  </w:num>
  <w:num w:numId="6" w16cid:durableId="643893505">
    <w:abstractNumId w:val="3"/>
  </w:num>
  <w:num w:numId="7" w16cid:durableId="30751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48"/>
    <w:rsid w:val="00116859"/>
    <w:rsid w:val="00133222"/>
    <w:rsid w:val="00290857"/>
    <w:rsid w:val="002E57A2"/>
    <w:rsid w:val="003C70B4"/>
    <w:rsid w:val="00736024"/>
    <w:rsid w:val="007445EE"/>
    <w:rsid w:val="00823603"/>
    <w:rsid w:val="0086166E"/>
    <w:rsid w:val="0095198C"/>
    <w:rsid w:val="00A0079E"/>
    <w:rsid w:val="00A24E10"/>
    <w:rsid w:val="00A33F14"/>
    <w:rsid w:val="00A65B48"/>
    <w:rsid w:val="00B64A19"/>
    <w:rsid w:val="00B804B7"/>
    <w:rsid w:val="00CD3073"/>
    <w:rsid w:val="00DA4EEA"/>
    <w:rsid w:val="00EE7591"/>
    <w:rsid w:val="00FD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2CAB5"/>
  <w15:chartTrackingRefBased/>
  <w15:docId w15:val="{401E1072-59D5-4686-B363-06289F37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B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B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B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B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B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B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B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B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B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B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B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04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438</Words>
  <Characters>2999</Characters>
  <Application>Microsoft Office Word</Application>
  <DocSecurity>0</DocSecurity>
  <Lines>74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Weeks</dc:creator>
  <cp:keywords/>
  <dc:description/>
  <cp:lastModifiedBy>Sadie Krawczyk</cp:lastModifiedBy>
  <cp:revision>8</cp:revision>
  <cp:lastPrinted>2026-03-09T17:35:00Z</cp:lastPrinted>
  <dcterms:created xsi:type="dcterms:W3CDTF">2026-02-19T15:29:00Z</dcterms:created>
  <dcterms:modified xsi:type="dcterms:W3CDTF">2026-04-15T19:03:00Z</dcterms:modified>
</cp:coreProperties>
</file>